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D003D9">
      <w:pPr>
        <w:spacing w:line="6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关于举办202</w:t>
      </w:r>
      <w:r>
        <w:rPr>
          <w:rFonts w:hint="eastAsia" w:ascii="仿宋" w:hAnsi="仿宋" w:eastAsia="仿宋"/>
          <w:b/>
          <w:bCs/>
          <w:sz w:val="36"/>
          <w:szCs w:val="36"/>
        </w:rPr>
        <w:t>5</w:t>
      </w:r>
      <w:r>
        <w:rPr>
          <w:rFonts w:ascii="仿宋" w:hAnsi="仿宋" w:eastAsia="仿宋"/>
          <w:b/>
          <w:bCs/>
          <w:sz w:val="36"/>
          <w:szCs w:val="36"/>
        </w:rPr>
        <w:t>年全国</w:t>
      </w:r>
      <w:r>
        <w:rPr>
          <w:rFonts w:hint="eastAsia" w:ascii="仿宋" w:hAnsi="仿宋" w:eastAsia="仿宋"/>
          <w:b/>
          <w:bCs/>
          <w:sz w:val="36"/>
          <w:szCs w:val="36"/>
        </w:rPr>
        <w:t>高等学校</w:t>
      </w:r>
    </w:p>
    <w:p w14:paraId="41A262CE">
      <w:pPr>
        <w:spacing w:line="600" w:lineRule="exact"/>
        <w:jc w:val="center"/>
        <w:outlineLvl w:val="0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“</w:t>
      </w:r>
      <w:r>
        <w:rPr>
          <w:rFonts w:hint="eastAsia" w:ascii="仿宋" w:hAnsi="仿宋" w:eastAsia="仿宋"/>
          <w:b/>
          <w:bCs/>
          <w:sz w:val="36"/>
          <w:szCs w:val="36"/>
        </w:rPr>
        <w:t>流体力学</w:t>
      </w:r>
      <w:r>
        <w:rPr>
          <w:rFonts w:ascii="仿宋" w:hAnsi="仿宋" w:eastAsia="仿宋"/>
          <w:b/>
          <w:bCs/>
          <w:sz w:val="36"/>
          <w:szCs w:val="36"/>
        </w:rPr>
        <w:t>”骨干教师技能培训班的通知</w:t>
      </w:r>
    </w:p>
    <w:p w14:paraId="4EA9FF07">
      <w:pPr>
        <w:spacing w:line="360" w:lineRule="exact"/>
        <w:jc w:val="center"/>
        <w:outlineLvl w:val="0"/>
        <w:rPr>
          <w:rFonts w:ascii="Times New Roman"/>
          <w:b/>
          <w:bCs/>
          <w:sz w:val="10"/>
          <w:szCs w:val="10"/>
        </w:rPr>
      </w:pPr>
    </w:p>
    <w:p w14:paraId="0DA6985D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34B1BC9E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</w:t>
      </w:r>
      <w:bookmarkStart w:id="0" w:name="_GoBack"/>
      <w:bookmarkEnd w:id="0"/>
      <w:r>
        <w:rPr>
          <w:rFonts w:hint="eastAsia" w:ascii="仿宋" w:hAnsi="仿宋" w:eastAsia="仿宋"/>
          <w:bCs/>
          <w:sz w:val="30"/>
          <w:szCs w:val="30"/>
        </w:rPr>
        <w:t>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背景下复合型师资团队建设的需要，教师通过培训了解产业和技术变革的现状，同时增强适应新产业发展的工程实践能力，更好地为化工行业、能源动力行业培养应用型与技能型人才服务， “天煌教仪”拟举办2025年全国高等学校“流体力学”骨干教师技能培训班，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647D1F84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6AD666A8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1.培训内容：</w:t>
      </w:r>
    </w:p>
    <w:p w14:paraId="66213F47">
      <w:pPr>
        <w:spacing w:line="36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   围绕“THXZH-4B型全数字流体力学综合实验装置”、“THLHLS-4型泵管阀安装与特性测试综合实训平台”、</w:t>
      </w:r>
      <w:r>
        <w:rPr>
          <w:rFonts w:ascii="仿宋" w:hAnsi="仿宋" w:eastAsia="仿宋"/>
          <w:bCs/>
          <w:sz w:val="30"/>
          <w:szCs w:val="30"/>
        </w:rPr>
        <w:t>THXLN-3C</w:t>
      </w:r>
      <w:r>
        <w:rPr>
          <w:rFonts w:hint="eastAsia" w:ascii="仿宋" w:hAnsi="仿宋" w:eastAsia="仿宋"/>
          <w:bCs/>
          <w:sz w:val="30"/>
          <w:szCs w:val="30"/>
        </w:rPr>
        <w:t>型</w:t>
      </w:r>
      <w:r>
        <w:rPr>
          <w:rFonts w:ascii="仿宋" w:hAnsi="仿宋" w:eastAsia="仿宋"/>
          <w:bCs/>
          <w:sz w:val="30"/>
          <w:szCs w:val="30"/>
        </w:rPr>
        <w:t xml:space="preserve"> </w:t>
      </w:r>
      <w:r>
        <w:rPr>
          <w:rFonts w:hint="eastAsia" w:ascii="仿宋" w:hAnsi="仿宋" w:eastAsia="仿宋"/>
          <w:bCs/>
          <w:sz w:val="30"/>
          <w:szCs w:val="30"/>
        </w:rPr>
        <w:t>雷诺现象演示实验装置（数字型）、</w:t>
      </w:r>
      <w:r>
        <w:rPr>
          <w:rFonts w:ascii="仿宋" w:hAnsi="仿宋" w:eastAsia="仿宋"/>
          <w:bCs/>
          <w:sz w:val="30"/>
          <w:szCs w:val="30"/>
        </w:rPr>
        <w:t>THXPL-3C</w:t>
      </w:r>
      <w:r>
        <w:rPr>
          <w:rFonts w:hint="eastAsia" w:ascii="仿宋" w:hAnsi="仿宋" w:eastAsia="仿宋"/>
          <w:bCs/>
          <w:sz w:val="30"/>
          <w:szCs w:val="30"/>
        </w:rPr>
        <w:t>型</w:t>
      </w:r>
      <w:r>
        <w:rPr>
          <w:rFonts w:ascii="仿宋" w:hAnsi="仿宋" w:eastAsia="仿宋"/>
          <w:bCs/>
          <w:sz w:val="30"/>
          <w:szCs w:val="30"/>
        </w:rPr>
        <w:t xml:space="preserve"> </w:t>
      </w:r>
      <w:r>
        <w:rPr>
          <w:rFonts w:hint="eastAsia" w:ascii="仿宋" w:hAnsi="仿宋" w:eastAsia="仿宋"/>
          <w:bCs/>
          <w:sz w:val="30"/>
          <w:szCs w:val="30"/>
        </w:rPr>
        <w:t>伯努利方程实验装置（数字型）的设备组成及功能、操作注意事项等实验、实训项目开展培训。</w:t>
      </w:r>
    </w:p>
    <w:p w14:paraId="08AF8D7A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2.培训形式：分专题报告、技术培训、设备培训、实操训练，理论授课与实操相结合。</w:t>
      </w:r>
    </w:p>
    <w:p w14:paraId="3073863B">
      <w:pPr>
        <w:spacing w:line="360" w:lineRule="exact"/>
        <w:ind w:firstLine="552" w:firstLineChars="200"/>
        <w:jc w:val="left"/>
        <w:rPr>
          <w:rFonts w:hAnsi="仿宋_GB2312"/>
          <w:spacing w:val="-2"/>
          <w:sz w:val="28"/>
        </w:rPr>
      </w:pPr>
      <w:r>
        <w:rPr>
          <w:rFonts w:hAnsi="仿宋_GB2312"/>
          <w:spacing w:val="-2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107950</wp:posOffset>
            </wp:positionV>
            <wp:extent cx="5467350" cy="5034280"/>
            <wp:effectExtent l="0" t="0" r="0" b="0"/>
            <wp:wrapNone/>
            <wp:docPr id="2" name="图片 2" descr="C:\Users\Administrator\Desktop\第一次典型产品彩页产品简介2023.3.21\典型产品第一版图片2023.3\完\THXZH-4B型  全数字流体力学综合实验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第一次典型产品彩页产品简介2023.3.21\典型产品第一版图片2023.3\完\THXZH-4B型  全数字流体力学综合实验平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A7C784">
      <w:pPr>
        <w:rPr>
          <w:bCs/>
          <w:sz w:val="30"/>
          <w:szCs w:val="30"/>
        </w:rPr>
      </w:pPr>
    </w:p>
    <w:p w14:paraId="71A2CA22">
      <w:pPr>
        <w:rPr>
          <w:bCs/>
          <w:sz w:val="30"/>
          <w:szCs w:val="30"/>
        </w:rPr>
      </w:pPr>
    </w:p>
    <w:p w14:paraId="5895E74B">
      <w:pPr>
        <w:rPr>
          <w:bCs/>
          <w:sz w:val="30"/>
          <w:szCs w:val="30"/>
        </w:rPr>
      </w:pPr>
    </w:p>
    <w:p w14:paraId="0257BFD5">
      <w:pPr>
        <w:rPr>
          <w:bCs/>
          <w:sz w:val="30"/>
          <w:szCs w:val="30"/>
        </w:rPr>
      </w:pPr>
    </w:p>
    <w:p w14:paraId="0DDBD229">
      <w:pPr>
        <w:rPr>
          <w:bCs/>
          <w:sz w:val="30"/>
          <w:szCs w:val="30"/>
        </w:rPr>
      </w:pPr>
    </w:p>
    <w:p w14:paraId="7E9FB2C7">
      <w:pPr>
        <w:jc w:val="center"/>
        <w:rPr>
          <w:b/>
          <w:sz w:val="30"/>
          <w:szCs w:val="30"/>
        </w:rPr>
      </w:pPr>
    </w:p>
    <w:p w14:paraId="0E7186F1">
      <w:pPr>
        <w:jc w:val="center"/>
        <w:rPr>
          <w:b/>
          <w:sz w:val="30"/>
          <w:szCs w:val="30"/>
        </w:rPr>
      </w:pPr>
    </w:p>
    <w:p w14:paraId="17D58605">
      <w:pPr>
        <w:jc w:val="center"/>
        <w:rPr>
          <w:b/>
          <w:sz w:val="30"/>
          <w:szCs w:val="30"/>
        </w:rPr>
      </w:pPr>
    </w:p>
    <w:p w14:paraId="7DDC725D">
      <w:pPr>
        <w:jc w:val="center"/>
        <w:rPr>
          <w:b/>
          <w:sz w:val="30"/>
          <w:szCs w:val="30"/>
        </w:rPr>
      </w:pPr>
    </w:p>
    <w:p w14:paraId="65ECDFB7">
      <w:pPr>
        <w:jc w:val="center"/>
        <w:rPr>
          <w:b/>
          <w:sz w:val="30"/>
          <w:szCs w:val="30"/>
        </w:rPr>
      </w:pPr>
    </w:p>
    <w:p w14:paraId="1E27DD78">
      <w:pPr>
        <w:jc w:val="center"/>
        <w:rPr>
          <w:b/>
          <w:sz w:val="30"/>
          <w:szCs w:val="30"/>
        </w:rPr>
      </w:pPr>
    </w:p>
    <w:p w14:paraId="34D00C0A">
      <w:pPr>
        <w:jc w:val="center"/>
        <w:rPr>
          <w:b/>
          <w:sz w:val="30"/>
          <w:szCs w:val="30"/>
        </w:rPr>
      </w:pPr>
    </w:p>
    <w:p w14:paraId="435E45DF">
      <w:pPr>
        <w:jc w:val="center"/>
        <w:rPr>
          <w:b/>
          <w:sz w:val="30"/>
          <w:szCs w:val="30"/>
        </w:rPr>
      </w:pPr>
    </w:p>
    <w:p w14:paraId="682D734A">
      <w:pPr>
        <w:jc w:val="center"/>
        <w:rPr>
          <w:b/>
          <w:sz w:val="30"/>
          <w:szCs w:val="30"/>
        </w:rPr>
      </w:pPr>
    </w:p>
    <w:p w14:paraId="1AFED76E">
      <w:pPr>
        <w:jc w:val="center"/>
        <w:rPr>
          <w:b/>
          <w:sz w:val="30"/>
          <w:szCs w:val="30"/>
        </w:rPr>
      </w:pPr>
    </w:p>
    <w:p w14:paraId="133C98F3">
      <w:pPr>
        <w:jc w:val="center"/>
        <w:rPr>
          <w:b/>
          <w:sz w:val="30"/>
          <w:szCs w:val="30"/>
        </w:rPr>
      </w:pPr>
    </w:p>
    <w:p w14:paraId="2F5793EF">
      <w:pPr>
        <w:spacing w:line="360" w:lineRule="exact"/>
        <w:jc w:val="center"/>
        <w:rPr>
          <w:b/>
          <w:sz w:val="30"/>
          <w:szCs w:val="30"/>
        </w:rPr>
      </w:pPr>
    </w:p>
    <w:p w14:paraId="7E691785">
      <w:pPr>
        <w:spacing w:line="360" w:lineRule="exact"/>
        <w:jc w:val="center"/>
        <w:rPr>
          <w:b/>
          <w:sz w:val="30"/>
          <w:szCs w:val="30"/>
        </w:rPr>
      </w:pPr>
    </w:p>
    <w:p w14:paraId="348B6BEC">
      <w:pPr>
        <w:spacing w:line="360" w:lineRule="exact"/>
        <w:jc w:val="center"/>
        <w:rPr>
          <w:rFonts w:ascii="仿宋" w:hAnsi="仿宋" w:eastAsia="仿宋"/>
          <w:b/>
          <w:sz w:val="30"/>
          <w:szCs w:val="30"/>
        </w:rPr>
      </w:pPr>
    </w:p>
    <w:p w14:paraId="57727D2C">
      <w:pPr>
        <w:spacing w:line="360" w:lineRule="exact"/>
        <w:jc w:val="center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THXZH-4B型 全数字流体力学综合实验装置</w:t>
      </w:r>
    </w:p>
    <w:p w14:paraId="5647D334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装置主要是根据理、工科院校开设的《水力学》、《流体力学》、《化工原理》、《化工基础》等课程而研制，实验内容包括雷诺现象演示、机械能方程验证、管路阻力测定、局部水头损失测定、节流式流量计校正、离心泵特性测定及比例定律等，适合建筑、水利、市政、化学工程与工艺、制药工程、生物工程资源循环科学与工程、能源与环境系统工程、环境工程、过程装备与控制工程等相关专业类的实验、实训教学。</w:t>
      </w:r>
    </w:p>
    <w:p w14:paraId="116A4809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633E82C2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60960</wp:posOffset>
            </wp:positionV>
            <wp:extent cx="5983605" cy="4924425"/>
            <wp:effectExtent l="0" t="0" r="0" b="0"/>
            <wp:wrapNone/>
            <wp:docPr id="5" name="图片 5" descr="K:\2024年总目录修改资料20241101\产品图片最新型号\THLHLS-4型泵管阀安装与特性测试综合实训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:\2024年总目录修改资料20241101\产品图片最新型号\THLHLS-4型泵管阀安装与特性测试综合实训平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086E0D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1BAD0361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3C1D27FC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59A90F86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7DB09024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2BAE61BF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79188E83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12AE1A44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45D56712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26161846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44892BD7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38B9DA1E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77EE15AE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40EC3E5D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3F4873D7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1ADEFCCA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2933A919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28ACDB45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188374AB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1E5F2308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0AA2502B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5892C5FD">
      <w:pPr>
        <w:jc w:val="center"/>
        <w:rPr>
          <w:rFonts w:hint="eastAsia" w:ascii="仿宋" w:hAnsi="仿宋" w:eastAsia="仿宋" w:cs="宋体"/>
          <w:b/>
          <w:color w:val="000000"/>
          <w:sz w:val="30"/>
          <w:szCs w:val="30"/>
          <w:lang w:val="zh-CN"/>
        </w:rPr>
      </w:pPr>
    </w:p>
    <w:p w14:paraId="29291A35">
      <w:pPr>
        <w:jc w:val="center"/>
        <w:rPr>
          <w:rFonts w:ascii="仿宋" w:hAnsi="仿宋" w:eastAsia="仿宋" w:cs="宋体"/>
          <w:b/>
          <w:color w:val="000000"/>
          <w:sz w:val="30"/>
          <w:szCs w:val="30"/>
          <w:lang w:val="zh-CN"/>
        </w:rPr>
      </w:pPr>
      <w:r>
        <w:rPr>
          <w:rFonts w:hint="eastAsia" w:ascii="仿宋" w:hAnsi="仿宋" w:eastAsia="仿宋" w:cs="宋体"/>
          <w:b/>
          <w:color w:val="000000"/>
          <w:sz w:val="30"/>
          <w:szCs w:val="30"/>
          <w:lang w:val="zh-CN"/>
        </w:rPr>
        <w:t>THLHLS-4型 泵管阀安装与特性测试综合实训平台</w:t>
      </w:r>
    </w:p>
    <w:p w14:paraId="5FC56CD1">
      <w:pPr>
        <w:widowControl/>
        <w:kinsoku w:val="0"/>
        <w:autoSpaceDE w:val="0"/>
        <w:autoSpaceDN w:val="0"/>
        <w:adjustRightInd w:val="0"/>
        <w:snapToGrid w:val="0"/>
        <w:spacing w:line="360" w:lineRule="exact"/>
        <w:ind w:firstLine="632" w:firstLineChars="200"/>
        <w:textAlignment w:val="baseline"/>
        <w:rPr>
          <w:rFonts w:ascii="仿宋" w:hAnsi="仿宋" w:eastAsia="仿宋"/>
          <w:bCs/>
          <w:spacing w:val="-2"/>
        </w:rPr>
      </w:pPr>
      <w:r>
        <w:rPr>
          <w:rFonts w:hint="eastAsia" w:ascii="仿宋" w:hAnsi="仿宋" w:eastAsia="仿宋"/>
          <w:bCs/>
          <w:spacing w:val="-2"/>
        </w:rPr>
        <w:t>本实训平台是为配套应用化工、化工工艺、化学制药，工业自动化仪表相关专业的实训教学而研制，本实训平台可作为《化工基础》、《化工设备基础》、《化工原理》、《化工仪表及自动化》、《检测技术与仪表》及《化工过程控制系统》等课程的实训操作设备，适用于各相关专业实训教学。</w:t>
      </w:r>
    </w:p>
    <w:p w14:paraId="4538B64E">
      <w:pPr>
        <w:spacing w:line="360" w:lineRule="exact"/>
        <w:ind w:firstLine="790" w:firstLineChars="250"/>
        <w:rPr>
          <w:rFonts w:ascii="仿宋" w:hAnsi="仿宋" w:eastAsia="仿宋"/>
          <w:bCs/>
          <w:spacing w:val="-2"/>
        </w:rPr>
      </w:pPr>
    </w:p>
    <w:p w14:paraId="26309691">
      <w:pPr>
        <w:spacing w:line="360" w:lineRule="exact"/>
        <w:ind w:firstLine="790" w:firstLineChars="250"/>
        <w:rPr>
          <w:rFonts w:ascii="仿宋" w:hAnsi="仿宋" w:eastAsia="仿宋"/>
          <w:bCs/>
          <w:spacing w:val="-2"/>
        </w:rPr>
      </w:pPr>
    </w:p>
    <w:p w14:paraId="49608B72">
      <w:pPr>
        <w:spacing w:line="360" w:lineRule="exact"/>
        <w:ind w:firstLine="790" w:firstLineChars="250"/>
        <w:rPr>
          <w:rFonts w:ascii="仿宋" w:hAnsi="仿宋" w:eastAsia="仿宋"/>
          <w:bCs/>
          <w:spacing w:val="-2"/>
        </w:rPr>
      </w:pPr>
    </w:p>
    <w:p w14:paraId="1C3C3A26">
      <w:pPr>
        <w:spacing w:line="36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</w:p>
    <w:p w14:paraId="2F9ADDE3">
      <w:pPr>
        <w:spacing w:line="360" w:lineRule="exact"/>
        <w:ind w:firstLine="753" w:firstLineChars="25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-530225</wp:posOffset>
            </wp:positionV>
            <wp:extent cx="4848225" cy="4495800"/>
            <wp:effectExtent l="0" t="0" r="0" b="0"/>
            <wp:wrapNone/>
            <wp:docPr id="9" name="图片 9" descr="C:\Users\Administrator\Desktop\THZZXLN-3A型雷诺实验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THZZXLN-3A型雷诺实验仪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3" r="1357" b="97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0EBD6F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14EEC8DB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0A805180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123934C2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19FF6020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7838F5A0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2D882A6E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6D47AF30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14AC65FE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51B6F6BE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1BD8DC30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3C2D7136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5D10C1EE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21BC9FEA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61A58E83">
      <w:pPr>
        <w:spacing w:line="360" w:lineRule="exact"/>
        <w:jc w:val="center"/>
        <w:rPr>
          <w:rFonts w:hint="eastAsia" w:asciiTheme="minorEastAsia" w:hAnsiTheme="minorEastAsia" w:eastAsiaTheme="minorEastAsia"/>
          <w:b/>
          <w:bCs/>
          <w:sz w:val="22"/>
          <w:szCs w:val="22"/>
        </w:rPr>
      </w:pPr>
    </w:p>
    <w:p w14:paraId="66826519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007A425E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60BED663">
      <w:pPr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 w:cs="宋体"/>
          <w:b/>
          <w:color w:val="000000"/>
          <w:sz w:val="30"/>
          <w:szCs w:val="30"/>
          <w:lang w:val="zh-CN"/>
        </w:rPr>
        <w:t>THXLN-3C</w:t>
      </w:r>
      <w:r>
        <w:rPr>
          <w:rFonts w:hint="eastAsia" w:ascii="仿宋" w:hAnsi="仿宋" w:eastAsia="仿宋" w:cs="宋体"/>
          <w:b/>
          <w:color w:val="000000"/>
          <w:sz w:val="30"/>
          <w:szCs w:val="30"/>
          <w:lang w:val="zh-CN"/>
        </w:rPr>
        <w:t>型</w:t>
      </w:r>
      <w:r>
        <w:rPr>
          <w:rFonts w:ascii="仿宋" w:hAnsi="仿宋" w:eastAsia="仿宋" w:cs="宋体"/>
          <w:b/>
          <w:color w:val="000000"/>
          <w:sz w:val="30"/>
          <w:szCs w:val="30"/>
          <w:lang w:val="zh-CN"/>
        </w:rPr>
        <w:t xml:space="preserve"> </w:t>
      </w:r>
      <w:r>
        <w:rPr>
          <w:rFonts w:hint="eastAsia" w:ascii="仿宋" w:hAnsi="仿宋" w:eastAsia="仿宋" w:cs="宋体"/>
          <w:b/>
          <w:color w:val="000000"/>
          <w:sz w:val="30"/>
          <w:szCs w:val="30"/>
          <w:lang w:val="zh-CN"/>
        </w:rPr>
        <w:t>雷诺现象演示实验装置（数字型）</w:t>
      </w:r>
    </w:p>
    <w:p w14:paraId="3C3FAD15">
      <w:pPr>
        <w:spacing w:line="360" w:lineRule="exact"/>
        <w:ind w:firstLine="632" w:firstLineChars="200"/>
        <w:rPr>
          <w:rFonts w:ascii="仿宋" w:hAnsi="仿宋" w:eastAsia="仿宋"/>
          <w:bCs/>
          <w:spacing w:val="-2"/>
        </w:rPr>
      </w:pPr>
      <w:r>
        <w:rPr>
          <w:rFonts w:hint="eastAsia" w:ascii="仿宋" w:hAnsi="仿宋" w:eastAsia="仿宋"/>
          <w:bCs/>
          <w:spacing w:val="-2"/>
        </w:rPr>
        <w:t>本装置用于研究流体在管中的流动状态，特别是层流、紊流的流态及其转换特性，雷诺数描述了流动流体惯性力与黏性力之间相关大小的关键参数。</w:t>
      </w:r>
    </w:p>
    <w:p w14:paraId="3A1802BD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50C8EE54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Theme="minorEastAsia" w:hAnsiTheme="minorEastAsia" w:eastAsiaTheme="minorEastAsia"/>
          <w:b/>
          <w:bCs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3175</wp:posOffset>
            </wp:positionV>
            <wp:extent cx="4457700" cy="4058285"/>
            <wp:effectExtent l="0" t="0" r="0" b="0"/>
            <wp:wrapNone/>
            <wp:docPr id="10" name="图片 10" descr="C:\Users\Administrator\Desktop\THZZXPL-3A型伯努利方程实验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THZZXPL-3A型伯努利方程实验仪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" t="1832" r="3310" b="285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29415E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3F1EFF1E">
      <w:pPr>
        <w:spacing w:line="360" w:lineRule="exact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4495F03C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49D303D6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2A53F4A5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07E53864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4B2DFFE4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13F90F93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5D59D94F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2BF9A23D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3B435624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59682666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21042A1D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539FE8FD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17679397">
      <w:pPr>
        <w:spacing w:line="360" w:lineRule="exact"/>
        <w:jc w:val="center"/>
        <w:rPr>
          <w:rFonts w:asciiTheme="minorEastAsia" w:hAnsiTheme="minorEastAsia" w:eastAsiaTheme="minorEastAsia"/>
          <w:b/>
          <w:bCs/>
          <w:sz w:val="22"/>
          <w:szCs w:val="22"/>
        </w:rPr>
      </w:pPr>
    </w:p>
    <w:p w14:paraId="46E3AE7B">
      <w:pPr>
        <w:spacing w:line="380" w:lineRule="exact"/>
        <w:jc w:val="center"/>
        <w:rPr>
          <w:rFonts w:ascii="仿宋" w:hAnsi="仿宋" w:eastAsia="仿宋" w:cs="宋体"/>
          <w:b/>
          <w:color w:val="000000"/>
          <w:sz w:val="30"/>
          <w:szCs w:val="30"/>
          <w:lang w:val="zh-CN"/>
        </w:rPr>
      </w:pPr>
      <w:r>
        <w:rPr>
          <w:rFonts w:ascii="仿宋" w:hAnsi="仿宋" w:eastAsia="仿宋" w:cs="宋体"/>
          <w:b/>
          <w:color w:val="000000"/>
          <w:sz w:val="30"/>
          <w:szCs w:val="30"/>
          <w:lang w:val="zh-CN"/>
        </w:rPr>
        <w:t>THXPL-3C</w:t>
      </w:r>
      <w:r>
        <w:rPr>
          <w:rFonts w:hint="eastAsia" w:ascii="仿宋" w:hAnsi="仿宋" w:eastAsia="仿宋" w:cs="宋体"/>
          <w:b/>
          <w:color w:val="000000"/>
          <w:sz w:val="30"/>
          <w:szCs w:val="30"/>
          <w:lang w:val="zh-CN"/>
        </w:rPr>
        <w:t>型</w:t>
      </w:r>
      <w:r>
        <w:rPr>
          <w:rFonts w:ascii="仿宋" w:hAnsi="仿宋" w:eastAsia="仿宋" w:cs="宋体"/>
          <w:b/>
          <w:color w:val="000000"/>
          <w:sz w:val="30"/>
          <w:szCs w:val="30"/>
          <w:lang w:val="zh-CN"/>
        </w:rPr>
        <w:t xml:space="preserve"> </w:t>
      </w:r>
      <w:r>
        <w:rPr>
          <w:rFonts w:hint="eastAsia" w:ascii="仿宋" w:hAnsi="仿宋" w:eastAsia="仿宋" w:cs="宋体"/>
          <w:b/>
          <w:color w:val="000000"/>
          <w:sz w:val="30"/>
          <w:szCs w:val="30"/>
          <w:lang w:val="zh-CN"/>
        </w:rPr>
        <w:t>伯努利方程实验装置（数字型）</w:t>
      </w:r>
    </w:p>
    <w:p w14:paraId="05172339">
      <w:pPr>
        <w:spacing w:line="380" w:lineRule="exact"/>
        <w:ind w:firstLine="632" w:firstLineChars="200"/>
        <w:rPr>
          <w:rFonts w:ascii="仿宋" w:hAnsi="仿宋" w:eastAsia="仿宋"/>
          <w:bCs/>
          <w:spacing w:val="-2"/>
        </w:rPr>
      </w:pPr>
      <w:r>
        <w:rPr>
          <w:rFonts w:hint="eastAsia" w:ascii="仿宋" w:hAnsi="仿宋" w:eastAsia="仿宋"/>
          <w:bCs/>
          <w:spacing w:val="-2"/>
        </w:rPr>
        <w:t>本装置用于验证伯努利方程，研究流体以恒定流速流经实验管特定截面上的总压头、静压头，熟悉流体流动中各种能量和压头的概念及其相互转换关系。</w:t>
      </w:r>
    </w:p>
    <w:p w14:paraId="62EBC8DC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5A57401B">
      <w:pPr>
        <w:spacing w:line="38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全国高等学校</w:t>
      </w:r>
      <w:r>
        <w:rPr>
          <w:rFonts w:hint="eastAsia" w:ascii="MS Gothic" w:hAnsi="MS Gothic" w:eastAsia="MS Gothic" w:cs="MS Gothic"/>
          <w:bCs/>
          <w:sz w:val="30"/>
          <w:szCs w:val="30"/>
        </w:rPr>
        <w:t>‌</w:t>
      </w:r>
      <w:r>
        <w:rPr>
          <w:rFonts w:hint="eastAsia" w:cs="MS Gothic" w:asciiTheme="minorEastAsia" w:hAnsiTheme="minorEastAsia" w:eastAsiaTheme="minorEastAsia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能源与动力</w:t>
      </w:r>
      <w:r>
        <w:rPr>
          <w:rFonts w:hint="eastAsia" w:cs="MS Gothic" w:asciiTheme="minorEastAsia" w:hAnsiTheme="minorEastAsia" w:eastAsiaTheme="minorEastAsia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、“土木水利与建筑”、“</w:t>
      </w:r>
      <w:r>
        <w:rPr>
          <w:rFonts w:hint="eastAsia" w:ascii="仿宋" w:hAnsi="仿宋" w:eastAsia="仿宋" w:cs="仿宋"/>
          <w:bCs/>
          <w:sz w:val="30"/>
          <w:szCs w:val="30"/>
        </w:rPr>
        <w:t>机械船舶与交通</w:t>
      </w:r>
      <w:r>
        <w:rPr>
          <w:rFonts w:hint="eastAsia" w:ascii="仿宋" w:hAnsi="仿宋" w:eastAsia="仿宋"/>
          <w:bCs/>
          <w:sz w:val="30"/>
          <w:szCs w:val="30"/>
        </w:rPr>
        <w:t>”</w:t>
      </w:r>
      <w:r>
        <w:rPr>
          <w:rFonts w:hint="eastAsia" w:ascii="MS Gothic" w:hAnsi="MS Gothic" w:eastAsia="MS Gothic" w:cs="MS Gothic"/>
          <w:bCs/>
          <w:sz w:val="30"/>
          <w:szCs w:val="30"/>
        </w:rPr>
        <w:t>‌</w:t>
      </w:r>
      <w:r>
        <w:rPr>
          <w:rFonts w:hint="eastAsia" w:ascii="仿宋" w:hAnsi="仿宋" w:eastAsia="仿宋" w:cs="仿宋"/>
          <w:bCs/>
          <w:sz w:val="30"/>
          <w:szCs w:val="30"/>
        </w:rPr>
        <w:t>、“</w:t>
      </w:r>
      <w:r>
        <w:rPr>
          <w:rFonts w:hint="eastAsia" w:ascii="MS Gothic" w:hAnsi="MS Gothic" w:eastAsia="MS Gothic" w:cs="MS Gothic"/>
          <w:bCs/>
          <w:sz w:val="30"/>
          <w:szCs w:val="30"/>
        </w:rPr>
        <w:t>‌</w:t>
      </w:r>
      <w:r>
        <w:rPr>
          <w:rFonts w:hint="eastAsia" w:ascii="仿宋" w:hAnsi="仿宋" w:eastAsia="仿宋" w:cs="仿宋"/>
          <w:bCs/>
          <w:sz w:val="30"/>
          <w:szCs w:val="30"/>
        </w:rPr>
        <w:t>油气储运”</w:t>
      </w:r>
      <w:r>
        <w:rPr>
          <w:rFonts w:hint="eastAsia" w:ascii="MS Gothic" w:hAnsi="MS Gothic" w:eastAsia="MS Gothic" w:cs="MS Gothic"/>
          <w:bCs/>
          <w:sz w:val="30"/>
          <w:szCs w:val="30"/>
        </w:rPr>
        <w:t>‌</w:t>
      </w:r>
      <w:r>
        <w:rPr>
          <w:rFonts w:hint="eastAsia" w:ascii="仿宋" w:hAnsi="仿宋" w:eastAsia="仿宋" w:cs="仿宋"/>
          <w:bCs/>
          <w:sz w:val="30"/>
          <w:szCs w:val="30"/>
        </w:rPr>
        <w:t>、“环境化工与材料”、</w:t>
      </w:r>
      <w:r>
        <w:rPr>
          <w:rFonts w:hint="eastAsia" w:ascii="MS Gothic" w:hAnsi="MS Gothic" w:eastAsia="MS Gothic" w:cs="MS Gothic"/>
          <w:bCs/>
          <w:sz w:val="30"/>
          <w:szCs w:val="30"/>
        </w:rPr>
        <w:t>‌</w:t>
      </w:r>
      <w:r>
        <w:rPr>
          <w:rFonts w:hint="eastAsia" w:cs="MS Gothic" w:asciiTheme="minorEastAsia" w:hAnsiTheme="minorEastAsia" w:eastAsiaTheme="minorEastAsia"/>
          <w:bCs/>
          <w:sz w:val="30"/>
          <w:szCs w:val="30"/>
        </w:rPr>
        <w:t>“</w:t>
      </w:r>
      <w:r>
        <w:rPr>
          <w:rFonts w:hint="eastAsia" w:ascii="仿宋" w:hAnsi="仿宋" w:eastAsia="仿宋" w:cs="仿宋"/>
          <w:bCs/>
          <w:sz w:val="30"/>
          <w:szCs w:val="30"/>
        </w:rPr>
        <w:t>航空航天</w:t>
      </w:r>
      <w:r>
        <w:rPr>
          <w:rFonts w:hint="eastAsia" w:cs="MS Gothic" w:asciiTheme="minorEastAsia" w:hAnsiTheme="minorEastAsia" w:eastAsiaTheme="minorEastAsia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等相关专业课教师和实验指导老师，每个学校限报1～3人。</w:t>
      </w:r>
    </w:p>
    <w:p w14:paraId="7CE3AC59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75FD2425">
      <w:pPr>
        <w:spacing w:line="38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第一期培训时间：2025年7月28日（周一）至8月3日（周日）,7月28日接站、报到，8月3日结业、送站。</w:t>
      </w:r>
    </w:p>
    <w:p w14:paraId="23CD70EA">
      <w:pPr>
        <w:spacing w:line="38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第二期培训时间：2025年8月15日（周五）至8月21日（周四）,8月15日接站、报到，8月21日结业、送站。</w:t>
      </w:r>
    </w:p>
    <w:p w14:paraId="7B9886B1">
      <w:pPr>
        <w:spacing w:line="38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报到及培训地点：浙江天煌科技实业有限公司</w:t>
      </w:r>
    </w:p>
    <w:p w14:paraId="2CA5FD3C">
      <w:pPr>
        <w:spacing w:line="380" w:lineRule="exac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注：</w:t>
      </w:r>
      <w:r>
        <w:rPr>
          <w:rFonts w:hint="eastAsia" w:ascii="仿宋" w:hAnsi="仿宋" w:eastAsia="仿宋"/>
          <w:sz w:val="30"/>
          <w:szCs w:val="30"/>
        </w:rPr>
        <w:t>（1）请准备参加培训班的院校尽快报名，第一期报名截止日期2025年7月23日（周三），第二期报名截止日期2025年8月11日（周一）；</w:t>
      </w:r>
    </w:p>
    <w:p w14:paraId="1F6C94CB">
      <w:pPr>
        <w:spacing w:line="380" w:lineRule="exact"/>
        <w:ind w:left="630" w:leftChars="197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0C58D380">
      <w:pPr>
        <w:spacing w:line="380" w:lineRule="exac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四、相关费用：</w:t>
      </w:r>
    </w:p>
    <w:p w14:paraId="3A283CEB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（1）培训费（含实操耗材、教材资料和授课费等）：2450元/人；</w:t>
      </w:r>
    </w:p>
    <w:p w14:paraId="1E8794A6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（2）住宿统一安排，费用自理，住宿费：350元/间/天；</w:t>
      </w:r>
    </w:p>
    <w:p w14:paraId="60EAF860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（3）餐饮统一安排，费用自理；</w:t>
      </w:r>
    </w:p>
    <w:p w14:paraId="1B8205FA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（4）往返路费自理；</w:t>
      </w:r>
    </w:p>
    <w:p w14:paraId="4847A1A3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（5）培训期间安排社会实践活动</w:t>
      </w:r>
      <w:r>
        <w:rPr>
          <w:rFonts w:ascii="仿宋" w:hAnsi="仿宋" w:eastAsia="仿宋"/>
          <w:sz w:val="30"/>
          <w:szCs w:val="30"/>
        </w:rPr>
        <w:t>。</w:t>
      </w:r>
    </w:p>
    <w:p w14:paraId="63F1CF16">
      <w:pPr>
        <w:spacing w:line="38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64D2A211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04E13899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1EB04955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7CD6F19E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1B7D1246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23C59DBD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2DA3C8AD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47DE30EA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50C8C087">
      <w:pPr>
        <w:spacing w:line="38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1.请参加培训的老师按要求填写《2025年全国高等学校“流体力学”骨干教师技能培训班报名回执》（登录http：//www.tianhuang.cn下载）并发送到E-mail: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bCs/>
          <w:sz w:val="30"/>
          <w:szCs w:val="30"/>
        </w:rPr>
        <w:t>skills@tianhuang.cn</w:t>
      </w:r>
      <w:r>
        <w:rPr>
          <w:rFonts w:hint="eastAsia" w:ascii="仿宋" w:hAnsi="仿宋" w:eastAsia="仿宋"/>
          <w:bCs/>
          <w:sz w:val="30"/>
          <w:szCs w:val="30"/>
        </w:rPr>
        <w:fldChar w:fldCharType="end"/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3486FF98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62454BD8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联系人：蒋老师（手机13750802785,微信同号）</w:t>
      </w:r>
    </w:p>
    <w:p w14:paraId="2619CFDA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3A12222C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0CA6FC9D">
      <w:pPr>
        <w:spacing w:line="380" w:lineRule="exact"/>
        <w:ind w:firstLine="594" w:firstLineChars="198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地址：浙江省杭州市西湖科技园区西园五路10号   </w:t>
      </w:r>
    </w:p>
    <w:p w14:paraId="52B07AF5">
      <w:pPr>
        <w:spacing w:line="38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邮编：310030</w:t>
      </w:r>
    </w:p>
    <w:p w14:paraId="1F75387D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1AC38DD2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4EA6D5EC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7CB0AEC4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全国职业教育师资专业技能培训示范单位</w:t>
      </w:r>
    </w:p>
    <w:p w14:paraId="754AB81A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       浙江天煌科技实业有限公司</w:t>
      </w:r>
    </w:p>
    <w:p w14:paraId="2754A7EF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</w:t>
      </w:r>
      <w:r>
        <w:rPr>
          <w:rFonts w:ascii="仿宋" w:hAnsi="仿宋" w:eastAsia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/>
          <w:b/>
          <w:bCs/>
          <w:sz w:val="30"/>
          <w:szCs w:val="30"/>
        </w:rPr>
        <w:t>5</w:t>
      </w:r>
      <w:r>
        <w:rPr>
          <w:rFonts w:ascii="仿宋" w:hAnsi="仿宋" w:eastAsia="仿宋"/>
          <w:b/>
          <w:bCs/>
          <w:sz w:val="30"/>
          <w:szCs w:val="30"/>
        </w:rPr>
        <w:t>年</w:t>
      </w:r>
      <w:r>
        <w:rPr>
          <w:rFonts w:hint="eastAsia" w:ascii="仿宋" w:hAnsi="仿宋" w:eastAsia="仿宋"/>
          <w:b/>
          <w:bCs/>
          <w:sz w:val="30"/>
          <w:szCs w:val="30"/>
        </w:rPr>
        <w:t>6</w:t>
      </w:r>
      <w:r>
        <w:rPr>
          <w:rFonts w:ascii="仿宋" w:hAnsi="仿宋" w:eastAsia="仿宋"/>
          <w:b/>
          <w:bCs/>
          <w:sz w:val="30"/>
          <w:szCs w:val="30"/>
        </w:rPr>
        <w:t>月</w:t>
      </w:r>
      <w:r>
        <w:rPr>
          <w:rFonts w:hint="eastAsia" w:ascii="仿宋" w:hAnsi="仿宋" w:eastAsia="仿宋"/>
          <w:b/>
          <w:bCs/>
          <w:sz w:val="30"/>
          <w:szCs w:val="30"/>
        </w:rPr>
        <w:t>13</w:t>
      </w:r>
      <w:r>
        <w:rPr>
          <w:rFonts w:ascii="仿宋" w:hAnsi="仿宋" w:eastAsia="仿宋"/>
          <w:b/>
          <w:bCs/>
          <w:sz w:val="30"/>
          <w:szCs w:val="30"/>
        </w:rPr>
        <w:t>日</w:t>
      </w:r>
    </w:p>
    <w:p w14:paraId="5A49A0FB">
      <w:pPr>
        <w:autoSpaceDE w:val="0"/>
        <w:autoSpaceDN w:val="0"/>
        <w:adjustRightInd w:val="0"/>
        <w:spacing w:line="380" w:lineRule="exact"/>
        <w:rPr>
          <w:rFonts w:ascii="仿宋" w:hAnsi="仿宋" w:eastAsia="仿宋"/>
          <w:b/>
          <w:bCs/>
          <w:spacing w:val="-14"/>
          <w:sz w:val="30"/>
          <w:szCs w:val="30"/>
        </w:rPr>
      </w:pPr>
      <w:r>
        <w:rPr>
          <w:rFonts w:ascii="仿宋" w:hAnsi="仿宋" w:eastAsia="仿宋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pacing w:val="-14"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pacing w:val="26"/>
          <w:w w:val="100"/>
          <w:kern w:val="0"/>
          <w:sz w:val="30"/>
          <w:szCs w:val="30"/>
          <w:fitText w:val="8400" w:id="1217815949"/>
        </w:rPr>
        <w:t>2025年全国高等学校“流体力学”骨干教师技能培训</w:t>
      </w:r>
      <w:r>
        <w:rPr>
          <w:rFonts w:hint="eastAsia" w:ascii="仿宋" w:hAnsi="仿宋" w:eastAsia="仿宋"/>
          <w:b/>
          <w:bCs/>
          <w:spacing w:val="2"/>
          <w:w w:val="100"/>
          <w:kern w:val="0"/>
          <w:sz w:val="30"/>
          <w:szCs w:val="30"/>
          <w:fitText w:val="8400" w:id="1217815949"/>
        </w:rPr>
        <w:t>班</w:t>
      </w:r>
    </w:p>
    <w:p w14:paraId="5453C9C9">
      <w:pPr>
        <w:spacing w:line="380" w:lineRule="exact"/>
        <w:jc w:val="center"/>
        <w:rPr>
          <w:rFonts w:ascii="仿宋" w:hAnsi="仿宋" w:eastAsia="仿宋"/>
          <w:bCs/>
          <w:kern w:val="28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报 名 回 执 </w:t>
      </w:r>
    </w:p>
    <w:p w14:paraId="229E0850">
      <w:pPr>
        <w:spacing w:line="400" w:lineRule="exact"/>
        <w:jc w:val="center"/>
        <w:rPr>
          <w:rFonts w:ascii="Times New Roman"/>
          <w:bCs/>
          <w:kern w:val="28"/>
          <w:sz w:val="28"/>
          <w:szCs w:val="28"/>
        </w:rPr>
      </w:pPr>
      <w:r>
        <w:rPr>
          <w:rFonts w:hint="eastAsia" w:hAnsi="仿宋"/>
          <w:b/>
          <w:bCs/>
          <w:szCs w:val="32"/>
        </w:rPr>
        <w:t xml:space="preserve">                                              </w:t>
      </w:r>
      <w:r>
        <w:rPr>
          <w:rFonts w:ascii="Times New Roman"/>
          <w:bCs/>
          <w:kern w:val="28"/>
          <w:sz w:val="28"/>
          <w:szCs w:val="28"/>
        </w:rPr>
        <w:t>(</w:t>
      </w:r>
      <w:r>
        <w:rPr>
          <w:rFonts w:ascii="Times New Roman"/>
          <w:bCs/>
          <w:spacing w:val="40"/>
          <w:kern w:val="28"/>
          <w:sz w:val="28"/>
          <w:szCs w:val="28"/>
        </w:rPr>
        <w:t>复印有</w:t>
      </w:r>
      <w:r>
        <w:rPr>
          <w:rFonts w:ascii="Times New Roman"/>
          <w:bCs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0E6A785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2FE5615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01283C4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470C9C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0CE73EE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43BF1A3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0D8954A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6FDF681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397FCE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0A55335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602A06D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68A1EF8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456B5F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3734BEC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896479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DA665E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220929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3F3C325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020079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7792AFD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399C2F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DE342C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CA4789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1C39B99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F529D3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3DBD1F7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311041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132364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38ACA3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3D4401B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F9E2F6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5019343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D0B9CF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47E4567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0E77485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32B08FC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245C9C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0309704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78867F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1723A4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EDB1C1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3D04EFC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B987DA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7715092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563903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ADC8F3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313CFA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7E2F834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E16787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28875D8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1C5CFC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A30E4C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83F779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52C8CE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4C0BC7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0D1BD54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F7299A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7C5D07A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506CE67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0070608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744564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740B62B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63B9F6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8746FD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34EDD4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73CE911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EEE895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19DDED9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3A0085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31A4CC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BE1615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61E64A4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185494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1AC3DCD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BA21C9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AE30F2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6FBA62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08794C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2E6E80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4AB39FC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6A1828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6" w:hRule="exact"/>
          <w:jc w:val="center"/>
        </w:trPr>
        <w:tc>
          <w:tcPr>
            <w:tcW w:w="1714" w:type="dxa"/>
            <w:vAlign w:val="center"/>
          </w:tcPr>
          <w:p w14:paraId="081ECA08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15D2259B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5BF8C7DE">
            <w:pPr>
              <w:spacing w:line="320" w:lineRule="exact"/>
              <w:ind w:right="170"/>
              <w:rPr>
                <w:rFonts w:ascii="仿宋" w:hAnsi="仿宋" w:eastAsia="仿宋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03FDA92F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2E564BE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2" w:hRule="exact"/>
          <w:jc w:val="center"/>
        </w:trPr>
        <w:tc>
          <w:tcPr>
            <w:tcW w:w="1714" w:type="dxa"/>
            <w:vAlign w:val="center"/>
          </w:tcPr>
          <w:p w14:paraId="656A4C66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1EBA258B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753BFAA5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1968F48E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5A27BE8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4" w:hRule="exact"/>
          <w:jc w:val="center"/>
        </w:trPr>
        <w:tc>
          <w:tcPr>
            <w:tcW w:w="1714" w:type="dxa"/>
            <w:vAlign w:val="center"/>
          </w:tcPr>
          <w:p w14:paraId="44CEDDAE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032FC02D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4501A755">
      <w:pPr>
        <w:spacing w:line="360" w:lineRule="exac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本培训班报名回执，请登录http：//www.tianhuang.cn下载。</w:t>
      </w:r>
    </w:p>
    <w:sectPr>
      <w:footerReference r:id="rId3" w:type="default"/>
      <w:pgSz w:w="11906" w:h="16838"/>
      <w:pgMar w:top="1134" w:right="1134" w:bottom="1134" w:left="1134" w:header="680" w:footer="68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840815">
    <w:pPr>
      <w:pStyle w:val="10"/>
      <w:jc w:val="right"/>
      <w:rPr>
        <w:rFonts w:ascii="宋体" w:hAnsi="宋体" w:eastAsia="宋体"/>
      </w:rPr>
    </w:pPr>
    <w:r>
      <w:rPr>
        <w:rFonts w:ascii="宋体" w:hAnsi="宋体" w:eastAsia="宋体"/>
      </w:rPr>
      <w:fldChar w:fldCharType="begin"/>
    </w:r>
    <w:r>
      <w:rPr>
        <w:rStyle w:val="17"/>
        <w:rFonts w:ascii="宋体" w:hAnsi="宋体" w:eastAsia="宋体"/>
      </w:rPr>
      <w:instrText xml:space="preserve"> PAGE </w:instrText>
    </w:r>
    <w:r>
      <w:rPr>
        <w:rFonts w:ascii="宋体" w:hAnsi="宋体" w:eastAsia="宋体"/>
      </w:rPr>
      <w:fldChar w:fldCharType="separate"/>
    </w:r>
    <w:r>
      <w:rPr>
        <w:rStyle w:val="17"/>
        <w:rFonts w:ascii="宋体" w:hAnsi="宋体" w:eastAsia="宋体"/>
      </w:rPr>
      <w:t>1</w:t>
    </w:r>
    <w:r>
      <w:rPr>
        <w:rFonts w:ascii="宋体" w:hAnsi="宋体" w:eastAsia="宋体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632E"/>
    <w:rsid w:val="00011322"/>
    <w:rsid w:val="000143F0"/>
    <w:rsid w:val="000158BB"/>
    <w:rsid w:val="00016951"/>
    <w:rsid w:val="00017039"/>
    <w:rsid w:val="00017896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19C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81C"/>
    <w:rsid w:val="00047A58"/>
    <w:rsid w:val="00052C81"/>
    <w:rsid w:val="00052ED9"/>
    <w:rsid w:val="0005364D"/>
    <w:rsid w:val="00053DB8"/>
    <w:rsid w:val="00054956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22F6"/>
    <w:rsid w:val="000D358B"/>
    <w:rsid w:val="000D5115"/>
    <w:rsid w:val="000E1B32"/>
    <w:rsid w:val="000E23B7"/>
    <w:rsid w:val="000E26E6"/>
    <w:rsid w:val="000E2F0F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B3B"/>
    <w:rsid w:val="00132F24"/>
    <w:rsid w:val="001348B1"/>
    <w:rsid w:val="00135D5E"/>
    <w:rsid w:val="00136F17"/>
    <w:rsid w:val="001375B5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7E08"/>
    <w:rsid w:val="00150039"/>
    <w:rsid w:val="00150166"/>
    <w:rsid w:val="00150606"/>
    <w:rsid w:val="00150D68"/>
    <w:rsid w:val="0015108F"/>
    <w:rsid w:val="001512FC"/>
    <w:rsid w:val="00151A43"/>
    <w:rsid w:val="00153749"/>
    <w:rsid w:val="00153FD9"/>
    <w:rsid w:val="0015437B"/>
    <w:rsid w:val="00155D16"/>
    <w:rsid w:val="00155F6E"/>
    <w:rsid w:val="00156188"/>
    <w:rsid w:val="00156649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7065C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2BE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43A7"/>
    <w:rsid w:val="001D51EB"/>
    <w:rsid w:val="001D5400"/>
    <w:rsid w:val="001D55FD"/>
    <w:rsid w:val="001D75B8"/>
    <w:rsid w:val="001E0651"/>
    <w:rsid w:val="001E2082"/>
    <w:rsid w:val="001E34FE"/>
    <w:rsid w:val="001E43AF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26FC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4263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2956"/>
    <w:rsid w:val="00243969"/>
    <w:rsid w:val="0024456D"/>
    <w:rsid w:val="00245244"/>
    <w:rsid w:val="002461E1"/>
    <w:rsid w:val="0025018E"/>
    <w:rsid w:val="00250A71"/>
    <w:rsid w:val="00251F41"/>
    <w:rsid w:val="002522BA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15A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5184"/>
    <w:rsid w:val="002F6636"/>
    <w:rsid w:val="002F6C6E"/>
    <w:rsid w:val="003009D5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1672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48F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0724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19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4916"/>
    <w:rsid w:val="00466F3F"/>
    <w:rsid w:val="0047615D"/>
    <w:rsid w:val="00476507"/>
    <w:rsid w:val="004805AE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455B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D7FF8"/>
    <w:rsid w:val="004E05C0"/>
    <w:rsid w:val="004E0DF4"/>
    <w:rsid w:val="004E185C"/>
    <w:rsid w:val="004E2822"/>
    <w:rsid w:val="004E2ED8"/>
    <w:rsid w:val="004E3695"/>
    <w:rsid w:val="004E3DF1"/>
    <w:rsid w:val="004E4691"/>
    <w:rsid w:val="004E501F"/>
    <w:rsid w:val="004E795C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2226"/>
    <w:rsid w:val="00532CCA"/>
    <w:rsid w:val="00533671"/>
    <w:rsid w:val="00534BD6"/>
    <w:rsid w:val="00535176"/>
    <w:rsid w:val="005351BF"/>
    <w:rsid w:val="005404B0"/>
    <w:rsid w:val="005430A6"/>
    <w:rsid w:val="0054321F"/>
    <w:rsid w:val="00543B1B"/>
    <w:rsid w:val="0054529E"/>
    <w:rsid w:val="00545B36"/>
    <w:rsid w:val="00545D4F"/>
    <w:rsid w:val="005507CC"/>
    <w:rsid w:val="005510F7"/>
    <w:rsid w:val="005513CF"/>
    <w:rsid w:val="005514CE"/>
    <w:rsid w:val="005545AE"/>
    <w:rsid w:val="00555CC8"/>
    <w:rsid w:val="005560FD"/>
    <w:rsid w:val="005562B8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5DFD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430E"/>
    <w:rsid w:val="005E5310"/>
    <w:rsid w:val="005E620D"/>
    <w:rsid w:val="005E7D2B"/>
    <w:rsid w:val="005F23A7"/>
    <w:rsid w:val="005F27AB"/>
    <w:rsid w:val="005F30E3"/>
    <w:rsid w:val="005F387E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68B0"/>
    <w:rsid w:val="00607E27"/>
    <w:rsid w:val="00607E30"/>
    <w:rsid w:val="00611941"/>
    <w:rsid w:val="00611DAE"/>
    <w:rsid w:val="00611E91"/>
    <w:rsid w:val="00612B85"/>
    <w:rsid w:val="00613C98"/>
    <w:rsid w:val="0061588D"/>
    <w:rsid w:val="00615EE0"/>
    <w:rsid w:val="00616465"/>
    <w:rsid w:val="006169AA"/>
    <w:rsid w:val="00616B3A"/>
    <w:rsid w:val="00617EF0"/>
    <w:rsid w:val="00620119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1720"/>
    <w:rsid w:val="006423BD"/>
    <w:rsid w:val="00642AAA"/>
    <w:rsid w:val="00643197"/>
    <w:rsid w:val="00643245"/>
    <w:rsid w:val="00643A07"/>
    <w:rsid w:val="006442DB"/>
    <w:rsid w:val="00644717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511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FA3"/>
    <w:rsid w:val="0071371D"/>
    <w:rsid w:val="00716773"/>
    <w:rsid w:val="007169DD"/>
    <w:rsid w:val="007202E2"/>
    <w:rsid w:val="0072168A"/>
    <w:rsid w:val="00722F84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B81"/>
    <w:rsid w:val="00736EE5"/>
    <w:rsid w:val="007371D2"/>
    <w:rsid w:val="00740B82"/>
    <w:rsid w:val="007416D1"/>
    <w:rsid w:val="00742969"/>
    <w:rsid w:val="00742A5D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57F7E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5694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C4C"/>
    <w:rsid w:val="00816FC8"/>
    <w:rsid w:val="008202E3"/>
    <w:rsid w:val="008229A8"/>
    <w:rsid w:val="008232D4"/>
    <w:rsid w:val="008233D9"/>
    <w:rsid w:val="00824448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C09"/>
    <w:rsid w:val="008531AF"/>
    <w:rsid w:val="00854723"/>
    <w:rsid w:val="00856EC6"/>
    <w:rsid w:val="00860991"/>
    <w:rsid w:val="00862303"/>
    <w:rsid w:val="008634C0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90990"/>
    <w:rsid w:val="008911FE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5FFC"/>
    <w:rsid w:val="008C7019"/>
    <w:rsid w:val="008C71C3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6C2E"/>
    <w:rsid w:val="009075BE"/>
    <w:rsid w:val="009128BF"/>
    <w:rsid w:val="00912D12"/>
    <w:rsid w:val="009146C4"/>
    <w:rsid w:val="009170EE"/>
    <w:rsid w:val="00917305"/>
    <w:rsid w:val="0092041F"/>
    <w:rsid w:val="009208F5"/>
    <w:rsid w:val="0092110E"/>
    <w:rsid w:val="009211DB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30E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153D"/>
    <w:rsid w:val="009B4529"/>
    <w:rsid w:val="009B5581"/>
    <w:rsid w:val="009B5CD7"/>
    <w:rsid w:val="009B658E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D17"/>
    <w:rsid w:val="00A01618"/>
    <w:rsid w:val="00A0190E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655"/>
    <w:rsid w:val="00A67C10"/>
    <w:rsid w:val="00A67C48"/>
    <w:rsid w:val="00A71D00"/>
    <w:rsid w:val="00A72E65"/>
    <w:rsid w:val="00A73F56"/>
    <w:rsid w:val="00A743E0"/>
    <w:rsid w:val="00A74696"/>
    <w:rsid w:val="00A757B6"/>
    <w:rsid w:val="00A81454"/>
    <w:rsid w:val="00A81CA5"/>
    <w:rsid w:val="00A83782"/>
    <w:rsid w:val="00A8424E"/>
    <w:rsid w:val="00A84A6F"/>
    <w:rsid w:val="00A84B1D"/>
    <w:rsid w:val="00A84E90"/>
    <w:rsid w:val="00A86F49"/>
    <w:rsid w:val="00A8715C"/>
    <w:rsid w:val="00A9001E"/>
    <w:rsid w:val="00A904D7"/>
    <w:rsid w:val="00A91D77"/>
    <w:rsid w:val="00A92EDF"/>
    <w:rsid w:val="00A93D9C"/>
    <w:rsid w:val="00A9418D"/>
    <w:rsid w:val="00A95315"/>
    <w:rsid w:val="00A9784D"/>
    <w:rsid w:val="00A97E1E"/>
    <w:rsid w:val="00AA0CA6"/>
    <w:rsid w:val="00AA0FBB"/>
    <w:rsid w:val="00AA18C3"/>
    <w:rsid w:val="00AA19AA"/>
    <w:rsid w:val="00AA1CF4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3DCF"/>
    <w:rsid w:val="00AC3E40"/>
    <w:rsid w:val="00AC4043"/>
    <w:rsid w:val="00AC52F9"/>
    <w:rsid w:val="00AC5FCB"/>
    <w:rsid w:val="00AC67B6"/>
    <w:rsid w:val="00AC7192"/>
    <w:rsid w:val="00AD0321"/>
    <w:rsid w:val="00AD0B71"/>
    <w:rsid w:val="00AD11A4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27BA"/>
    <w:rsid w:val="00AF3CF7"/>
    <w:rsid w:val="00AF4069"/>
    <w:rsid w:val="00AF4926"/>
    <w:rsid w:val="00AF7AF5"/>
    <w:rsid w:val="00B0067A"/>
    <w:rsid w:val="00B00940"/>
    <w:rsid w:val="00B048D6"/>
    <w:rsid w:val="00B06B35"/>
    <w:rsid w:val="00B06D9B"/>
    <w:rsid w:val="00B07F85"/>
    <w:rsid w:val="00B10575"/>
    <w:rsid w:val="00B1064B"/>
    <w:rsid w:val="00B14DD4"/>
    <w:rsid w:val="00B14FAF"/>
    <w:rsid w:val="00B15FD7"/>
    <w:rsid w:val="00B16E58"/>
    <w:rsid w:val="00B21FAA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3F5D"/>
    <w:rsid w:val="00B74CBD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1D3"/>
    <w:rsid w:val="00BA16E2"/>
    <w:rsid w:val="00BA1F05"/>
    <w:rsid w:val="00BA315C"/>
    <w:rsid w:val="00BA4406"/>
    <w:rsid w:val="00BA45F0"/>
    <w:rsid w:val="00BA4E1D"/>
    <w:rsid w:val="00BB08BB"/>
    <w:rsid w:val="00BB0C59"/>
    <w:rsid w:val="00BB1242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D49"/>
    <w:rsid w:val="00BB7F59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630B"/>
    <w:rsid w:val="00C16E6D"/>
    <w:rsid w:val="00C20D65"/>
    <w:rsid w:val="00C2233D"/>
    <w:rsid w:val="00C22397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74"/>
    <w:rsid w:val="00C43FCA"/>
    <w:rsid w:val="00C441DA"/>
    <w:rsid w:val="00C446DD"/>
    <w:rsid w:val="00C4687B"/>
    <w:rsid w:val="00C47FDE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CB5"/>
    <w:rsid w:val="00C67188"/>
    <w:rsid w:val="00C67603"/>
    <w:rsid w:val="00C677D5"/>
    <w:rsid w:val="00C678A9"/>
    <w:rsid w:val="00C67C9F"/>
    <w:rsid w:val="00C67D3A"/>
    <w:rsid w:val="00C67F7A"/>
    <w:rsid w:val="00C709E9"/>
    <w:rsid w:val="00C710E8"/>
    <w:rsid w:val="00C72DBA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11F"/>
    <w:rsid w:val="00CB55D5"/>
    <w:rsid w:val="00CB6A49"/>
    <w:rsid w:val="00CB6E5B"/>
    <w:rsid w:val="00CB7AB9"/>
    <w:rsid w:val="00CC02C1"/>
    <w:rsid w:val="00CC0C17"/>
    <w:rsid w:val="00CC274D"/>
    <w:rsid w:val="00CC2AB7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4C15"/>
    <w:rsid w:val="00CF5209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826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6912"/>
    <w:rsid w:val="00DC0394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F210D"/>
    <w:rsid w:val="00DF2A02"/>
    <w:rsid w:val="00DF31AC"/>
    <w:rsid w:val="00DF39C4"/>
    <w:rsid w:val="00DF68C7"/>
    <w:rsid w:val="00E0098E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A55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2E6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4505"/>
    <w:rsid w:val="00EC549F"/>
    <w:rsid w:val="00EC6BF3"/>
    <w:rsid w:val="00EC7C7E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058"/>
    <w:rsid w:val="00EE48A2"/>
    <w:rsid w:val="00EE64D8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8DA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06B"/>
    <w:rsid w:val="00F45E7A"/>
    <w:rsid w:val="00F45F5D"/>
    <w:rsid w:val="00F47CBE"/>
    <w:rsid w:val="00F50E64"/>
    <w:rsid w:val="00F51B20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02A5"/>
    <w:rsid w:val="00FA1CEB"/>
    <w:rsid w:val="00FA2386"/>
    <w:rsid w:val="00FA3E7E"/>
    <w:rsid w:val="00FA4542"/>
    <w:rsid w:val="00FA4C0F"/>
    <w:rsid w:val="00FA6D41"/>
    <w:rsid w:val="00FA703B"/>
    <w:rsid w:val="00FA77AC"/>
    <w:rsid w:val="00FA7EB0"/>
    <w:rsid w:val="00FA7FB0"/>
    <w:rsid w:val="00FB0FD1"/>
    <w:rsid w:val="00FB3225"/>
    <w:rsid w:val="00FB3FFC"/>
    <w:rsid w:val="00FB651F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53EE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4B0"/>
    <w:rsid w:val="00FF1FDE"/>
    <w:rsid w:val="00FF37FC"/>
    <w:rsid w:val="00FF4819"/>
    <w:rsid w:val="00FF4E3E"/>
    <w:rsid w:val="00FF564B"/>
    <w:rsid w:val="00FF6BB6"/>
    <w:rsid w:val="00FF7EEC"/>
    <w:rsid w:val="4C542E97"/>
    <w:rsid w:val="4EB32846"/>
    <w:rsid w:val="580A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uiPriority w:val="0"/>
    <w:pPr>
      <w:shd w:val="clear" w:color="auto" w:fill="000080"/>
    </w:pPr>
  </w:style>
  <w:style w:type="paragraph" w:styleId="5">
    <w:name w:val="Body Text"/>
    <w:basedOn w:val="1"/>
    <w:uiPriority w:val="0"/>
    <w:rPr>
      <w:rFonts w:ascii="Times New Roman" w:eastAsia="宋体"/>
      <w:kern w:val="2"/>
    </w:rPr>
  </w:style>
  <w:style w:type="paragraph" w:styleId="6">
    <w:name w:val="Body Text Indent"/>
    <w:basedOn w:val="1"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uiPriority w:val="0"/>
    <w:pPr>
      <w:ind w:left="100" w:leftChars="2500"/>
    </w:pPr>
  </w:style>
  <w:style w:type="paragraph" w:styleId="9">
    <w:name w:val="Balloon Text"/>
    <w:basedOn w:val="1"/>
    <w:semiHidden/>
    <w:uiPriority w:val="0"/>
    <w:rPr>
      <w:sz w:val="18"/>
      <w:szCs w:val="18"/>
    </w:rPr>
  </w:style>
  <w:style w:type="paragraph" w:styleId="10">
    <w:name w:val="footer"/>
    <w:basedOn w:val="1"/>
    <w:link w:val="2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uiPriority w:val="0"/>
  </w:style>
  <w:style w:type="character" w:styleId="18">
    <w:name w:val="Hyperlink"/>
    <w:uiPriority w:val="99"/>
    <w:rPr>
      <w:color w:val="0000FF"/>
      <w:u w:val="single"/>
    </w:rPr>
  </w:style>
  <w:style w:type="character" w:styleId="19">
    <w:name w:val="footnote reference"/>
    <w:semiHidden/>
    <w:uiPriority w:val="0"/>
    <w:rPr>
      <w:vertAlign w:val="superscript"/>
    </w:rPr>
  </w:style>
  <w:style w:type="character" w:customStyle="1" w:styleId="20">
    <w:name w:val="页眉 Char"/>
    <w:link w:val="11"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2B798-79F7-4D23-80B6-6ED9A24349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6</Pages>
  <Words>1865</Words>
  <Characters>2157</Characters>
  <Lines>19</Lines>
  <Paragraphs>5</Paragraphs>
  <TotalTime>2169</TotalTime>
  <ScaleCrop>false</ScaleCrop>
  <LinksUpToDate>false</LinksUpToDate>
  <CharactersWithSpaces>2456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2023-12-14T09:59:00Z</cp:lastPrinted>
  <dcterms:modified xsi:type="dcterms:W3CDTF">2025-06-16T09:15:33Z</dcterms:modified>
  <dc:title>关于09年全国高职院校技能邀请赛“楼宇自动化技术”项目举办培训班的通知</dc:title>
  <cp:revision>554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648117A659A0495FB8911B47A01EB04D_12</vt:lpwstr>
  </property>
</Properties>
</file>